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C3B0" w14:textId="202C07F2" w:rsidR="00221D7B" w:rsidRDefault="00221D7B" w:rsidP="00221D7B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4398649" wp14:editId="3DE18147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53729" w14:textId="7EFCF458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4B84A7A6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manager or </w:t>
      </w:r>
      <w:r w:rsidR="2DC44E06" w:rsidRPr="5B852906">
        <w:rPr>
          <w:rFonts w:ascii="Arial" w:hAnsi="Arial" w:cs="Arial"/>
          <w:sz w:val="22"/>
          <w:szCs w:val="22"/>
        </w:rPr>
        <w:t xml:space="preserve">named </w:t>
      </w:r>
      <w:r w:rsidR="6AE3ACBD" w:rsidRPr="5B852906">
        <w:rPr>
          <w:rFonts w:ascii="Arial" w:hAnsi="Arial" w:cs="Arial"/>
          <w:sz w:val="22"/>
          <w:szCs w:val="22"/>
        </w:rPr>
        <w:t>f</w:t>
      </w:r>
      <w:r w:rsidRPr="5B852906">
        <w:rPr>
          <w:rFonts w:ascii="Arial" w:hAnsi="Arial" w:cs="Arial"/>
          <w:sz w:val="22"/>
          <w:szCs w:val="22"/>
        </w:rPr>
        <w:t xml:space="preserve">ire </w:t>
      </w:r>
      <w:proofErr w:type="gramStart"/>
      <w:r w:rsidR="4DFE33F0" w:rsidRPr="5B852906">
        <w:rPr>
          <w:rFonts w:ascii="Arial" w:hAnsi="Arial" w:cs="Arial"/>
          <w:sz w:val="22"/>
          <w:szCs w:val="22"/>
        </w:rPr>
        <w:t>m</w:t>
      </w:r>
      <w:r w:rsidRPr="5B852906">
        <w:rPr>
          <w:rFonts w:ascii="Arial" w:hAnsi="Arial" w:cs="Arial"/>
          <w:sz w:val="22"/>
          <w:szCs w:val="22"/>
        </w:rPr>
        <w:t xml:space="preserve">arshal </w:t>
      </w:r>
      <w:r w:rsidR="00221D7B">
        <w:rPr>
          <w:rFonts w:ascii="Arial" w:hAnsi="Arial" w:cs="Arial"/>
          <w:sz w:val="22"/>
          <w:szCs w:val="22"/>
        </w:rPr>
        <w:t xml:space="preserve"> Rachel</w:t>
      </w:r>
      <w:proofErr w:type="gramEnd"/>
      <w:r w:rsidR="00221D7B">
        <w:rPr>
          <w:rFonts w:ascii="Arial" w:hAnsi="Arial" w:cs="Arial"/>
          <w:sz w:val="22"/>
          <w:szCs w:val="22"/>
        </w:rPr>
        <w:t xml:space="preserve"> Oates at Weaverham Preschool</w:t>
      </w:r>
      <w:r w:rsidR="7118301B" w:rsidRPr="5B852906">
        <w:rPr>
          <w:rFonts w:ascii="Arial" w:hAnsi="Arial" w:cs="Arial"/>
          <w:sz w:val="22"/>
          <w:szCs w:val="22"/>
        </w:rPr>
        <w:t xml:space="preserve"> </w:t>
      </w:r>
      <w:r w:rsidR="00302EED" w:rsidRPr="5B852906">
        <w:rPr>
          <w:rFonts w:ascii="Arial" w:hAnsi="Arial" w:cs="Arial"/>
          <w:sz w:val="22"/>
          <w:szCs w:val="22"/>
        </w:rPr>
        <w:t>has</w:t>
      </w:r>
      <w:r w:rsidR="00F11EE8" w:rsidRPr="5B852906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1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3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footerReference w:type="default" r:id="rId14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D7F8" w14:textId="77777777" w:rsidR="007A2E2F" w:rsidRDefault="007A2E2F" w:rsidP="00050D51">
      <w:r>
        <w:separator/>
      </w:r>
    </w:p>
  </w:endnote>
  <w:endnote w:type="continuationSeparator" w:id="0">
    <w:p w14:paraId="4711E5C8" w14:textId="77777777" w:rsidR="007A2E2F" w:rsidRDefault="007A2E2F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05E2AD5E" w:rsidR="00A17CBB" w:rsidRPr="00AC24E4" w:rsidRDefault="324A515C" w:rsidP="324A515C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324A515C">
      <w:rPr>
        <w:rFonts w:ascii="Arial" w:hAnsi="Arial" w:cs="Arial"/>
        <w:i/>
        <w:iCs/>
        <w:color w:val="FF0000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70DF" w14:textId="77777777" w:rsidR="007A2E2F" w:rsidRDefault="007A2E2F" w:rsidP="00050D51">
      <w:r>
        <w:separator/>
      </w:r>
    </w:p>
  </w:footnote>
  <w:footnote w:type="continuationSeparator" w:id="0">
    <w:p w14:paraId="196EDFA2" w14:textId="77777777" w:rsidR="007A2E2F" w:rsidRDefault="007A2E2F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21D7B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4F8B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fire-safety-risk-assessment-educational-premis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Helen Walters</cp:lastModifiedBy>
  <cp:revision>2</cp:revision>
  <dcterms:created xsi:type="dcterms:W3CDTF">2025-10-02T11:32:00Z</dcterms:created>
  <dcterms:modified xsi:type="dcterms:W3CDTF">2025-10-02T11:32:00Z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