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C530" w14:textId="37709B15" w:rsidR="00F967FC" w:rsidRDefault="00F967FC" w:rsidP="00F967FC">
      <w:pPr>
        <w:tabs>
          <w:tab w:val="left" w:pos="357"/>
          <w:tab w:val="left" w:pos="720"/>
        </w:tabs>
        <w:spacing w:before="120" w:after="120" w:line="360" w:lineRule="auto"/>
        <w:ind w:left="357" w:hanging="357"/>
        <w:jc w:val="center"/>
        <w:rPr>
          <w:rFonts w:ascii="Arial" w:hAnsi="Arial" w:cs="Arial"/>
          <w:b/>
          <w:bCs/>
          <w:sz w:val="28"/>
          <w:szCs w:val="28"/>
        </w:rPr>
      </w:pPr>
      <w:r>
        <w:rPr>
          <w:noProof/>
        </w:rPr>
        <w:drawing>
          <wp:inline distT="0" distB="0" distL="0" distR="0" wp14:anchorId="75FA57AE" wp14:editId="2002B35C">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1D0CD246" w14:textId="3DE3A425" w:rsidR="00546BC0" w:rsidRPr="00A47D8E" w:rsidRDefault="00301A4A" w:rsidP="00F967FC">
      <w:pPr>
        <w:tabs>
          <w:tab w:val="left" w:pos="357"/>
          <w:tab w:val="left" w:pos="720"/>
        </w:tabs>
        <w:spacing w:before="120" w:after="120" w:line="360" w:lineRule="auto"/>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782A68DA" w:rsidR="0087790C" w:rsidRPr="00FC0E2C" w:rsidRDefault="00F967FC" w:rsidP="003877A6">
      <w:pPr>
        <w:autoSpaceDE w:val="0"/>
        <w:autoSpaceDN w:val="0"/>
        <w:adjustRightInd w:val="0"/>
        <w:spacing w:before="120" w:after="120" w:line="360" w:lineRule="auto"/>
        <w:rPr>
          <w:rFonts w:ascii="Arial" w:eastAsia="Calibri" w:hAnsi="Arial" w:cs="Arial"/>
          <w:sz w:val="22"/>
          <w:szCs w:val="22"/>
          <w:lang w:eastAsia="en-GB"/>
        </w:rPr>
      </w:pPr>
      <w:r w:rsidRPr="00F967FC">
        <w:rPr>
          <w:rFonts w:ascii="Arial" w:hAnsi="Arial" w:cs="Arial"/>
          <w:sz w:val="22"/>
          <w:szCs w:val="22"/>
        </w:rPr>
        <w:t>Weaverham Preschool</w:t>
      </w:r>
      <w:r w:rsidR="0087790C" w:rsidRPr="00F967FC">
        <w:rPr>
          <w:rFonts w:ascii="Arial" w:hAnsi="Arial" w:cs="Arial"/>
          <w:sz w:val="22"/>
          <w:szCs w:val="22"/>
        </w:rPr>
        <w:t xml:space="preserve"> </w:t>
      </w:r>
      <w:r w:rsidR="0087790C" w:rsidRPr="4ABF213A">
        <w:rPr>
          <w:rFonts w:ascii="Arial" w:hAnsi="Arial" w:cs="Arial"/>
          <w:sz w:val="22"/>
          <w:szCs w:val="22"/>
        </w:rPr>
        <w:t xml:space="preserve">actively 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w:t>
      </w:r>
      <w:r>
        <w:rPr>
          <w:rFonts w:ascii="Arial" w:hAnsi="Arial" w:cs="Arial"/>
          <w:sz w:val="22"/>
          <w:szCs w:val="22"/>
        </w:rPr>
        <w:t>4</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lastRenderedPageBreak/>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lastRenderedPageBreak/>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lastRenderedPageBreak/>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lastRenderedPageBreak/>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lastRenderedPageBreak/>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368C" w14:textId="77777777" w:rsidR="005564BA" w:rsidRDefault="005564BA" w:rsidP="009F0116">
      <w:r>
        <w:separator/>
      </w:r>
    </w:p>
  </w:endnote>
  <w:endnote w:type="continuationSeparator" w:id="0">
    <w:p w14:paraId="0E4D190C" w14:textId="77777777" w:rsidR="005564BA" w:rsidRDefault="005564BA"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AA3A" w14:textId="77777777" w:rsidR="005564BA" w:rsidRDefault="005564BA" w:rsidP="009F0116">
      <w:r>
        <w:separator/>
      </w:r>
    </w:p>
  </w:footnote>
  <w:footnote w:type="continuationSeparator" w:id="0">
    <w:p w14:paraId="322133F0" w14:textId="77777777" w:rsidR="005564BA" w:rsidRDefault="005564BA"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6CC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967FC"/>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2.xml><?xml version="1.0" encoding="utf-8"?>
<ds:datastoreItem xmlns:ds="http://schemas.openxmlformats.org/officeDocument/2006/customXml" ds:itemID="{5AAB137C-2E32-4EBF-B24B-860170FB7FE0}">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4c3b80c5-640a-4874-b78c-e0b0a16b43ff"/>
    <ds:schemaRef ds:uri="http://schemas.openxmlformats.org/package/2006/metadata/core-properties"/>
    <ds:schemaRef ds:uri="http://schemas.microsoft.com/office/infopath/2007/PartnerControls"/>
    <ds:schemaRef ds:uri="9ecd9464-01dd-4d64-bd14-78eb53cb503a"/>
  </ds:schemaRefs>
</ds:datastoreItem>
</file>

<file path=customXml/itemProps3.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4.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2331</Words>
  <Characters>13293</Characters>
  <Application>Microsoft Office Word</Application>
  <DocSecurity>0</DocSecurity>
  <Lines>110</Lines>
  <Paragraphs>31</Paragraphs>
  <ScaleCrop>false</ScaleCrop>
  <Company>Hewlett-Packard Company</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2011-11-21T10:06:00Z</cp:lastPrinted>
  <dcterms:created xsi:type="dcterms:W3CDTF">2025-10-07T10:17:00Z</dcterms:created>
  <dcterms:modified xsi:type="dcterms:W3CDTF">2025-10-07T10:17:00Z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